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5" w:rsidRPr="007957BB" w:rsidRDefault="009C7E3F" w:rsidP="00AB1CDD">
      <w:pPr>
        <w:spacing w:line="336" w:lineRule="auto"/>
        <w:rPr>
          <w:b/>
          <w:i/>
          <w:sz w:val="20"/>
          <w:szCs w:val="20"/>
        </w:rPr>
      </w:pPr>
      <w:r>
        <w:t xml:space="preserve">                                                                                                           </w:t>
      </w:r>
    </w:p>
    <w:p w:rsidR="007957BB" w:rsidRDefault="007957BB" w:rsidP="009C7E3F">
      <w:pPr>
        <w:jc w:val="center"/>
        <w:rPr>
          <w:rFonts w:cs="Arial"/>
          <w:b/>
          <w:sz w:val="20"/>
          <w:szCs w:val="20"/>
        </w:rPr>
      </w:pPr>
    </w:p>
    <w:p w:rsidR="009C7E3F" w:rsidRPr="007957BB" w:rsidRDefault="009C7E3F" w:rsidP="009C7E3F">
      <w:pPr>
        <w:jc w:val="center"/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>HPB U PRVOM POLUGODIŠTU 2016. GODINE</w:t>
      </w:r>
      <w:r w:rsidR="004248ED">
        <w:rPr>
          <w:rFonts w:cs="Arial"/>
          <w:b/>
          <w:sz w:val="20"/>
          <w:szCs w:val="20"/>
        </w:rPr>
        <w:t xml:space="preserve"> OSTVARILA </w:t>
      </w:r>
      <w:r w:rsidRPr="007957BB">
        <w:rPr>
          <w:rFonts w:cs="Arial"/>
          <w:b/>
          <w:sz w:val="20"/>
          <w:szCs w:val="20"/>
        </w:rPr>
        <w:t>193 MILIJUNA KUNA OPERATIVNE DOBITI</w:t>
      </w:r>
      <w:r w:rsidR="003540BE">
        <w:rPr>
          <w:rFonts w:cs="Arial"/>
          <w:b/>
          <w:sz w:val="20"/>
          <w:szCs w:val="20"/>
        </w:rPr>
        <w:t xml:space="preserve"> I</w:t>
      </w:r>
      <w:r w:rsidRPr="007957BB">
        <w:rPr>
          <w:rFonts w:cs="Arial"/>
          <w:b/>
          <w:sz w:val="20"/>
          <w:szCs w:val="20"/>
        </w:rPr>
        <w:t xml:space="preserve"> 13.000 NOVIH KLIJENATA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</w:p>
    <w:p w:rsidR="007957BB" w:rsidRDefault="009C7E3F" w:rsidP="009C7E3F">
      <w:pPr>
        <w:jc w:val="center"/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Prema nerevidiranim izvještajima HPB je u prvom polugodištu 2016. ostvarila 192,8 </w:t>
      </w:r>
      <w:proofErr w:type="spellStart"/>
      <w:r w:rsidRPr="007957BB">
        <w:rPr>
          <w:rFonts w:cs="Arial"/>
          <w:b/>
          <w:sz w:val="20"/>
          <w:szCs w:val="20"/>
        </w:rPr>
        <w:t>mil</w:t>
      </w:r>
      <w:proofErr w:type="spellEnd"/>
      <w:r w:rsidRPr="007957BB">
        <w:rPr>
          <w:rFonts w:cs="Arial"/>
          <w:b/>
          <w:sz w:val="20"/>
          <w:szCs w:val="20"/>
        </w:rPr>
        <w:t xml:space="preserve">. kn </w:t>
      </w:r>
      <w:r w:rsidR="00C52A6C">
        <w:rPr>
          <w:rFonts w:cs="Arial"/>
          <w:b/>
          <w:sz w:val="20"/>
          <w:szCs w:val="20"/>
        </w:rPr>
        <w:t xml:space="preserve">operativne dobiti i 91,3 </w:t>
      </w:r>
      <w:proofErr w:type="spellStart"/>
      <w:r w:rsidR="00C52A6C">
        <w:rPr>
          <w:rFonts w:cs="Arial"/>
          <w:b/>
          <w:sz w:val="20"/>
          <w:szCs w:val="20"/>
        </w:rPr>
        <w:t>mil</w:t>
      </w:r>
      <w:proofErr w:type="spellEnd"/>
      <w:r w:rsidR="00C52A6C">
        <w:rPr>
          <w:rFonts w:cs="Arial"/>
          <w:b/>
          <w:sz w:val="20"/>
          <w:szCs w:val="20"/>
        </w:rPr>
        <w:t>. kn</w:t>
      </w:r>
      <w:r w:rsidRPr="007957BB">
        <w:rPr>
          <w:rFonts w:cs="Arial"/>
          <w:b/>
          <w:sz w:val="20"/>
          <w:szCs w:val="20"/>
        </w:rPr>
        <w:t xml:space="preserve"> neto dobiti uz snažan rast tržišnih udjela </w:t>
      </w:r>
    </w:p>
    <w:p w:rsidR="009C7E3F" w:rsidRPr="007957BB" w:rsidRDefault="009C7E3F" w:rsidP="009C7E3F">
      <w:pPr>
        <w:jc w:val="center"/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u svim segmentima poslovanja   </w:t>
      </w:r>
    </w:p>
    <w:p w:rsidR="007957BB" w:rsidRDefault="007957BB" w:rsidP="009C7E3F">
      <w:pPr>
        <w:rPr>
          <w:rFonts w:cs="Arial"/>
          <w:b/>
          <w:sz w:val="20"/>
          <w:szCs w:val="20"/>
        </w:rPr>
      </w:pP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>●  Operativna dobit 192,8 milijuna kuna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Neto dobit 91,3 milijuna kuna, najviše do sada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Više od 17.600 novih tekućih računa građana </w:t>
      </w:r>
      <w:r w:rsidR="00223A60">
        <w:rPr>
          <w:rFonts w:cs="Arial"/>
          <w:b/>
          <w:sz w:val="20"/>
          <w:szCs w:val="20"/>
        </w:rPr>
        <w:t xml:space="preserve">u prvom polugodištu </w:t>
      </w:r>
    </w:p>
    <w:p w:rsidR="009C7E3F" w:rsidRPr="007957BB" w:rsidRDefault="00C52A6C" w:rsidP="009C7E3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●  V</w:t>
      </w:r>
      <w:r w:rsidR="009C7E3F" w:rsidRPr="007957BB">
        <w:rPr>
          <w:rFonts w:cs="Arial"/>
          <w:b/>
          <w:sz w:val="20"/>
          <w:szCs w:val="20"/>
        </w:rPr>
        <w:t xml:space="preserve">iše od 800 novih računa pravnih osoba </w:t>
      </w:r>
      <w:r w:rsidR="00223A60">
        <w:rPr>
          <w:rFonts w:cs="Arial"/>
          <w:b/>
          <w:sz w:val="20"/>
          <w:szCs w:val="20"/>
        </w:rPr>
        <w:t xml:space="preserve">u prvom polugodištu </w:t>
      </w:r>
    </w:p>
    <w:p w:rsidR="009C7E3F" w:rsidRPr="007957BB" w:rsidRDefault="009C7E3F" w:rsidP="009C7E3F">
      <w:pPr>
        <w:rPr>
          <w:rFonts w:cs="Arial"/>
          <w:b/>
          <w:color w:val="FF0000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Imovina Banke porasla 3,7% na 18,4 milijarde kuna </w:t>
      </w:r>
      <w:r w:rsidRPr="007957BB">
        <w:rPr>
          <w:rFonts w:cs="Arial"/>
          <w:b/>
          <w:color w:val="FF0000"/>
          <w:sz w:val="20"/>
          <w:szCs w:val="20"/>
        </w:rPr>
        <w:t xml:space="preserve"> 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Rast kredita građanima 11,2%, stambeni krediti skočili za 40,1% 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Rast ukupnih </w:t>
      </w:r>
      <w:r w:rsidRPr="007A5E63">
        <w:rPr>
          <w:rFonts w:cs="Arial"/>
          <w:b/>
          <w:sz w:val="20"/>
          <w:szCs w:val="20"/>
        </w:rPr>
        <w:t>depozita 5,</w:t>
      </w:r>
      <w:r w:rsidR="007A5E63" w:rsidRPr="007A5E63">
        <w:rPr>
          <w:rFonts w:cs="Arial"/>
          <w:b/>
          <w:sz w:val="20"/>
          <w:szCs w:val="20"/>
        </w:rPr>
        <w:t>1</w:t>
      </w:r>
      <w:r w:rsidRPr="007A5E63">
        <w:rPr>
          <w:rFonts w:cs="Arial"/>
          <w:b/>
          <w:sz w:val="20"/>
          <w:szCs w:val="20"/>
        </w:rPr>
        <w:t>%</w:t>
      </w:r>
      <w:r w:rsidRPr="007957BB">
        <w:rPr>
          <w:rFonts w:cs="Arial"/>
          <w:b/>
          <w:sz w:val="20"/>
          <w:szCs w:val="20"/>
        </w:rPr>
        <w:t xml:space="preserve">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Omjer troškova i prihoda bolji od prosjeka sektora, 52,4%*  </w:t>
      </w:r>
    </w:p>
    <w:p w:rsidR="009C7E3F" w:rsidRPr="007957BB" w:rsidRDefault="009C7E3F" w:rsidP="009C7E3F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●  ROAE na godišnjoj razini 11,1% </w:t>
      </w:r>
    </w:p>
    <w:p w:rsidR="009C7E3F" w:rsidRPr="007957BB" w:rsidRDefault="009C7E3F" w:rsidP="009C7E3F">
      <w:pPr>
        <w:rPr>
          <w:rFonts w:cs="Arial"/>
          <w:i/>
          <w:sz w:val="20"/>
          <w:szCs w:val="20"/>
        </w:rPr>
      </w:pPr>
      <w:r w:rsidRPr="007957BB">
        <w:rPr>
          <w:rFonts w:cs="Arial"/>
          <w:i/>
          <w:sz w:val="20"/>
          <w:szCs w:val="20"/>
        </w:rPr>
        <w:t xml:space="preserve"> *sektorski prosjek za prvo tromjesečje 2016. iznosi 59,1% </w:t>
      </w:r>
    </w:p>
    <w:p w:rsidR="007957BB" w:rsidRDefault="007957BB" w:rsidP="009C7E3F">
      <w:pPr>
        <w:rPr>
          <w:rFonts w:cs="Arial"/>
          <w:sz w:val="20"/>
          <w:szCs w:val="20"/>
        </w:rPr>
      </w:pPr>
    </w:p>
    <w:p w:rsidR="009C7E3F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sz w:val="20"/>
          <w:szCs w:val="20"/>
        </w:rPr>
        <w:t>Nakon izvrsne 2015. godine u kojoj je ostvaril</w:t>
      </w:r>
      <w:r w:rsidR="00C52A6C">
        <w:rPr>
          <w:rFonts w:cs="Arial"/>
          <w:sz w:val="20"/>
          <w:szCs w:val="20"/>
        </w:rPr>
        <w:t>a najbolji financijski rezultat</w:t>
      </w:r>
      <w:r w:rsidRPr="007957BB">
        <w:rPr>
          <w:rFonts w:cs="Arial"/>
          <w:sz w:val="20"/>
          <w:szCs w:val="20"/>
        </w:rPr>
        <w:t xml:space="preserve"> od osnivanja, Hrvatska poštanska banka i u 2016. nastavlja poboljšavati poslovanje. </w:t>
      </w:r>
    </w:p>
    <w:p w:rsidR="00D927B0" w:rsidRPr="007957BB" w:rsidRDefault="00D927B0" w:rsidP="009C7E3F">
      <w:pPr>
        <w:rPr>
          <w:rFonts w:cs="Arial"/>
          <w:sz w:val="20"/>
          <w:szCs w:val="20"/>
        </w:rPr>
      </w:pPr>
    </w:p>
    <w:p w:rsidR="009C7E3F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DOBIT: </w:t>
      </w:r>
      <w:r w:rsidRPr="007957BB">
        <w:rPr>
          <w:rFonts w:cs="Arial"/>
          <w:sz w:val="20"/>
          <w:szCs w:val="20"/>
        </w:rPr>
        <w:t xml:space="preserve">Operativna dobit u prvom polugodištu 2016. </w:t>
      </w:r>
      <w:r w:rsidR="006B7973">
        <w:rPr>
          <w:rFonts w:cs="Arial"/>
          <w:sz w:val="20"/>
          <w:szCs w:val="20"/>
        </w:rPr>
        <w:t>iznosi 192,8 milijuna</w:t>
      </w:r>
      <w:r w:rsidR="00C52A6C">
        <w:rPr>
          <w:rFonts w:cs="Arial"/>
          <w:sz w:val="20"/>
          <w:szCs w:val="20"/>
        </w:rPr>
        <w:t xml:space="preserve"> kuna, 14,</w:t>
      </w:r>
      <w:r w:rsidRPr="007957BB">
        <w:rPr>
          <w:rFonts w:cs="Arial"/>
          <w:sz w:val="20"/>
          <w:szCs w:val="20"/>
        </w:rPr>
        <w:t xml:space="preserve">5% više nego u istom razdoblju prethodne godine. Glavni pokretač rasta operativne dobiti je neto </w:t>
      </w:r>
      <w:proofErr w:type="spellStart"/>
      <w:r w:rsidRPr="007957BB">
        <w:rPr>
          <w:rFonts w:cs="Arial"/>
          <w:sz w:val="20"/>
          <w:szCs w:val="20"/>
        </w:rPr>
        <w:t>nekamatni</w:t>
      </w:r>
      <w:proofErr w:type="spellEnd"/>
      <w:r w:rsidRPr="007957BB">
        <w:rPr>
          <w:rFonts w:cs="Arial"/>
          <w:sz w:val="20"/>
          <w:szCs w:val="20"/>
        </w:rPr>
        <w:t xml:space="preserve"> prihod koji je porastao visokih 23,4%. Pritom je naglašen doprinos segmenta financijskih tržišta gdje je dobit od trgovanja vrijednosnim papirima i devizama</w:t>
      </w:r>
      <w:r w:rsidRPr="007957BB">
        <w:rPr>
          <w:rFonts w:cs="Arial"/>
          <w:b/>
          <w:sz w:val="20"/>
          <w:szCs w:val="20"/>
        </w:rPr>
        <w:t xml:space="preserve"> </w:t>
      </w:r>
      <w:r w:rsidRPr="007957BB">
        <w:rPr>
          <w:rFonts w:cs="Arial"/>
          <w:sz w:val="20"/>
          <w:szCs w:val="20"/>
        </w:rPr>
        <w:t>skočila</w:t>
      </w:r>
      <w:r w:rsidRPr="007957BB">
        <w:rPr>
          <w:rFonts w:cs="Arial"/>
          <w:b/>
          <w:sz w:val="20"/>
          <w:szCs w:val="20"/>
        </w:rPr>
        <w:t xml:space="preserve"> </w:t>
      </w:r>
      <w:r w:rsidRPr="007957BB">
        <w:rPr>
          <w:rFonts w:cs="Arial"/>
          <w:sz w:val="20"/>
          <w:szCs w:val="20"/>
        </w:rPr>
        <w:t xml:space="preserve">24,9%, a ostvaren je i jednokratni dobitak od prodaje dionica VISA Europe </w:t>
      </w:r>
      <w:proofErr w:type="spellStart"/>
      <w:r w:rsidRPr="007957BB">
        <w:rPr>
          <w:rFonts w:cs="Arial"/>
          <w:sz w:val="20"/>
          <w:szCs w:val="20"/>
        </w:rPr>
        <w:t>Ltd.u</w:t>
      </w:r>
      <w:proofErr w:type="spellEnd"/>
      <w:r w:rsidRPr="007957BB">
        <w:rPr>
          <w:rFonts w:cs="Arial"/>
          <w:sz w:val="20"/>
          <w:szCs w:val="20"/>
        </w:rPr>
        <w:t xml:space="preserve"> iznosu 3</w:t>
      </w:r>
      <w:r w:rsidR="007A5E63">
        <w:rPr>
          <w:rFonts w:cs="Arial"/>
          <w:sz w:val="20"/>
          <w:szCs w:val="20"/>
        </w:rPr>
        <w:t>3,5</w:t>
      </w:r>
      <w:r w:rsidRPr="007957BB">
        <w:rPr>
          <w:rFonts w:cs="Arial"/>
          <w:sz w:val="20"/>
          <w:szCs w:val="20"/>
        </w:rPr>
        <w:t xml:space="preserve"> </w:t>
      </w:r>
      <w:proofErr w:type="spellStart"/>
      <w:r w:rsidRPr="007957BB">
        <w:rPr>
          <w:rFonts w:cs="Arial"/>
          <w:sz w:val="20"/>
          <w:szCs w:val="20"/>
        </w:rPr>
        <w:t>mil</w:t>
      </w:r>
      <w:proofErr w:type="spellEnd"/>
      <w:r w:rsidR="00223A60">
        <w:rPr>
          <w:rFonts w:cs="Arial"/>
          <w:sz w:val="20"/>
          <w:szCs w:val="20"/>
        </w:rPr>
        <w:t xml:space="preserve">. </w:t>
      </w:r>
      <w:r w:rsidRPr="007957BB">
        <w:rPr>
          <w:rFonts w:cs="Arial"/>
          <w:sz w:val="20"/>
          <w:szCs w:val="20"/>
        </w:rPr>
        <w:t>kuna. Na taj način neutraliziran je očekivani pad neto kamatnog prihoda (-2,1%) uslijed tržišnih kretanja koje karakterizira sporiji rast zaduženosti i pad kamatnih stopa.</w:t>
      </w:r>
      <w:r w:rsidR="00223A60">
        <w:rPr>
          <w:rFonts w:cs="Arial"/>
          <w:sz w:val="20"/>
          <w:szCs w:val="20"/>
        </w:rPr>
        <w:t xml:space="preserve"> </w:t>
      </w:r>
      <w:r w:rsidRPr="007957BB">
        <w:rPr>
          <w:rFonts w:cs="Arial"/>
          <w:sz w:val="20"/>
          <w:szCs w:val="20"/>
        </w:rPr>
        <w:t xml:space="preserve">Neto dobit nakon efekta odgođenog poreza iznosi 91,3 </w:t>
      </w:r>
      <w:proofErr w:type="spellStart"/>
      <w:r w:rsidRPr="007957BB">
        <w:rPr>
          <w:rFonts w:cs="Arial"/>
          <w:sz w:val="20"/>
          <w:szCs w:val="20"/>
        </w:rPr>
        <w:t>mil</w:t>
      </w:r>
      <w:proofErr w:type="spellEnd"/>
      <w:r w:rsidR="00223A60">
        <w:rPr>
          <w:rFonts w:cs="Arial"/>
          <w:sz w:val="20"/>
          <w:szCs w:val="20"/>
        </w:rPr>
        <w:t xml:space="preserve">. </w:t>
      </w:r>
      <w:r w:rsidRPr="007957BB">
        <w:rPr>
          <w:rFonts w:cs="Arial"/>
          <w:sz w:val="20"/>
          <w:szCs w:val="20"/>
        </w:rPr>
        <w:t xml:space="preserve">kuna, 11% više nego u istom razdoblju prethodne godine i najviše do sada. </w:t>
      </w:r>
    </w:p>
    <w:p w:rsidR="00D927B0" w:rsidRDefault="00D927B0" w:rsidP="00D927B0">
      <w:pPr>
        <w:rPr>
          <w:rFonts w:cs="Arial"/>
          <w:sz w:val="20"/>
          <w:szCs w:val="20"/>
          <w:lang w:eastAsia="hr-HR"/>
        </w:rPr>
      </w:pPr>
      <w:r>
        <w:rPr>
          <w:rFonts w:cs="Arial"/>
          <w:b/>
          <w:iCs/>
          <w:sz w:val="20"/>
          <w:szCs w:val="20"/>
          <w:lang w:eastAsia="hr-HR"/>
        </w:rPr>
        <w:t>REZERVIRANJA:</w:t>
      </w:r>
      <w:r>
        <w:rPr>
          <w:rFonts w:cs="Arial"/>
          <w:iCs/>
          <w:sz w:val="20"/>
          <w:szCs w:val="20"/>
          <w:lang w:eastAsia="hr-HR"/>
        </w:rPr>
        <w:t xml:space="preserve"> Troškovi rezerviranja za </w:t>
      </w:r>
      <w:proofErr w:type="spellStart"/>
      <w:r w:rsidR="00CC2689">
        <w:rPr>
          <w:rFonts w:cs="Arial"/>
          <w:iCs/>
          <w:sz w:val="20"/>
          <w:szCs w:val="20"/>
          <w:lang w:eastAsia="hr-HR"/>
        </w:rPr>
        <w:t>neprihodujuće</w:t>
      </w:r>
      <w:proofErr w:type="spellEnd"/>
      <w:r w:rsidR="00CC2689">
        <w:rPr>
          <w:rFonts w:cs="Arial"/>
          <w:iCs/>
          <w:sz w:val="20"/>
          <w:szCs w:val="20"/>
          <w:lang w:eastAsia="hr-HR"/>
        </w:rPr>
        <w:t xml:space="preserve"> </w:t>
      </w:r>
      <w:r>
        <w:rPr>
          <w:rFonts w:cs="Arial"/>
          <w:iCs/>
          <w:sz w:val="20"/>
          <w:szCs w:val="20"/>
          <w:lang w:eastAsia="hr-HR"/>
        </w:rPr>
        <w:t xml:space="preserve">kredite iznose 81,4 milijuna kuna, 4,8% manje u usporedbi s istim razdobljem 2015. </w:t>
      </w:r>
    </w:p>
    <w:p w:rsidR="009C7E3F" w:rsidRPr="007957BB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lastRenderedPageBreak/>
        <w:t>TROŠKOVI I PROFITABILNOST:</w:t>
      </w:r>
      <w:r w:rsidRPr="007957BB">
        <w:rPr>
          <w:rFonts w:cs="Arial"/>
          <w:sz w:val="20"/>
          <w:szCs w:val="20"/>
        </w:rPr>
        <w:t xml:space="preserve"> Unatoč novom doprinosu za sanacijski fond EU, Banka je operativne troškove zadržala na razini prvog polugodišta 2015. zahvaljujući provedenim organizacijskim unapređenjima. Snažna profitabilnost očituje se u prinosu na prosječni kapital (ROAE) koji nadmašuje strateške smjernice i iznosi 11,1% na godišnjoj razini te u značajno poboljšanom omjeru troškova i prihoda (C/I indikator) koji je Banka uspjela dodatno sniziti na 52,4% dok sektorski prosjek za prvo tromjesečje 2016. iznosi 59,1%. </w:t>
      </w:r>
    </w:p>
    <w:p w:rsidR="009C7E3F" w:rsidRPr="007957BB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KLIJENTI: </w:t>
      </w:r>
      <w:r w:rsidRPr="007957BB">
        <w:rPr>
          <w:rFonts w:cs="Arial"/>
          <w:sz w:val="20"/>
          <w:szCs w:val="20"/>
        </w:rPr>
        <w:t xml:space="preserve">HPB je premašila brojku od 650 tisuća klijenata uz 13 tisuća novih u prvom polugodištu 2016. Od novih klijenata gotovo svaki drugi, odnosno 47% njih, pripada dobnoj skupini 19-50 koju Banka privlači sve kvalitetnijim servisom. Broj novootvorenih tekućih računa građana porastao je 15% (+17.668). Otvoreno je i preko 800 novih računa pravnih osoba čime se Banka približila brojci od 10.000 klijenata u segmentu poslovanja s gospodarstvom.  </w:t>
      </w:r>
      <w:r w:rsidRPr="007957BB">
        <w:rPr>
          <w:rFonts w:cs="Arial"/>
          <w:color w:val="FF0000"/>
          <w:sz w:val="20"/>
          <w:szCs w:val="20"/>
        </w:rPr>
        <w:t xml:space="preserve">  </w:t>
      </w:r>
    </w:p>
    <w:p w:rsidR="007957BB" w:rsidRPr="00135074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IMOVINA: </w:t>
      </w:r>
      <w:r w:rsidR="007A5E63">
        <w:rPr>
          <w:rFonts w:cs="Arial"/>
          <w:sz w:val="20"/>
          <w:szCs w:val="20"/>
        </w:rPr>
        <w:t>Imovina Banke povećana je za 3,7</w:t>
      </w:r>
      <w:r w:rsidRPr="007957BB">
        <w:rPr>
          <w:rFonts w:cs="Arial"/>
          <w:sz w:val="20"/>
          <w:szCs w:val="20"/>
        </w:rPr>
        <w:t>%</w:t>
      </w:r>
      <w:r w:rsidRPr="007957BB">
        <w:rPr>
          <w:rFonts w:cs="Arial"/>
          <w:b/>
          <w:sz w:val="20"/>
          <w:szCs w:val="20"/>
        </w:rPr>
        <w:t xml:space="preserve"> </w:t>
      </w:r>
      <w:r w:rsidRPr="007957BB">
        <w:rPr>
          <w:rFonts w:cs="Arial"/>
          <w:sz w:val="20"/>
          <w:szCs w:val="20"/>
        </w:rPr>
        <w:t xml:space="preserve">od početka 2016. na 18,4 milijarde kuna uz poboljšanje strukture u smjeru veće profitabilnosti. Višak likvidnosti je uglavnom plasiran u kredite komitentima koji su, suprotno tržišnom trendu smanjenih potreba za investiranjem i većoj sklonosti štednji, porasli 4,2%. </w:t>
      </w:r>
    </w:p>
    <w:p w:rsidR="009C7E3F" w:rsidRPr="007957BB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>KREDITI</w:t>
      </w:r>
      <w:r w:rsidRPr="007957BB">
        <w:rPr>
          <w:rFonts w:cs="Arial"/>
          <w:sz w:val="20"/>
          <w:szCs w:val="20"/>
        </w:rPr>
        <w:t>: Banka nastavlja povećavati kreditnu aktivnost na tržištu koje pada. Posebno smo ponosni na rezultate poslovanja s građanima gdje je Banka ostvarila rast kredita od visokih 11,</w:t>
      </w:r>
      <w:r w:rsidR="00223A60">
        <w:rPr>
          <w:rFonts w:cs="Arial"/>
          <w:sz w:val="20"/>
          <w:szCs w:val="20"/>
        </w:rPr>
        <w:t>2</w:t>
      </w:r>
      <w:r w:rsidRPr="007957BB">
        <w:rPr>
          <w:rFonts w:cs="Arial"/>
          <w:sz w:val="20"/>
          <w:szCs w:val="20"/>
        </w:rPr>
        <w:t>% (+13,7% međugodišnje) pri čemu su stambeni krediti skočili za 40,1% (+47,6% međugodišnje). U prvom polugodištu odobreno je 1.100 stambenih kredita u vrijednosti 430 milijuna kuna. Od ukupno 833 milijuna kuna kredita građanima, oko 300 milijuna se odnosi na refinanciranje kredita u CHF.</w:t>
      </w:r>
    </w:p>
    <w:p w:rsidR="009C7E3F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sz w:val="20"/>
          <w:szCs w:val="20"/>
        </w:rPr>
        <w:t>Volumen kredita gospodarstvu ostao je na gotovo istoj razini kao prethodne godine (</w:t>
      </w:r>
      <w:r w:rsidR="00A94BF7">
        <w:rPr>
          <w:rFonts w:cs="Arial"/>
          <w:sz w:val="20"/>
          <w:szCs w:val="20"/>
        </w:rPr>
        <w:t>-</w:t>
      </w:r>
      <w:r w:rsidRPr="007957BB">
        <w:rPr>
          <w:rFonts w:cs="Arial"/>
          <w:sz w:val="20"/>
          <w:szCs w:val="20"/>
        </w:rPr>
        <w:t xml:space="preserve">0,1%), pri čemu HPB nastavlja podržavati poduzeća i djelatnosti koje generiraju vrijednost za gospodarstvo.  </w:t>
      </w:r>
    </w:p>
    <w:p w:rsidR="009C7E3F" w:rsidRPr="007957BB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DEPOZITI: </w:t>
      </w:r>
      <w:r w:rsidRPr="007957BB">
        <w:rPr>
          <w:rFonts w:cs="Arial"/>
          <w:sz w:val="20"/>
          <w:szCs w:val="20"/>
        </w:rPr>
        <w:t>Ukupni depoziti</w:t>
      </w:r>
      <w:r w:rsidRPr="007957BB">
        <w:rPr>
          <w:rFonts w:cs="Arial"/>
          <w:b/>
          <w:sz w:val="20"/>
          <w:szCs w:val="20"/>
        </w:rPr>
        <w:t xml:space="preserve"> </w:t>
      </w:r>
      <w:r w:rsidRPr="007957BB">
        <w:rPr>
          <w:rFonts w:cs="Arial"/>
          <w:sz w:val="20"/>
          <w:szCs w:val="20"/>
        </w:rPr>
        <w:t xml:space="preserve">gdje Banka također nastavlja povećavati svoj tržišni udjel porasli su </w:t>
      </w:r>
      <w:r w:rsidRPr="007A5E63">
        <w:rPr>
          <w:rFonts w:cs="Arial"/>
          <w:sz w:val="20"/>
          <w:szCs w:val="20"/>
        </w:rPr>
        <w:t>značajnih 5,1% i iznose</w:t>
      </w:r>
      <w:r w:rsidRPr="007957BB">
        <w:rPr>
          <w:rFonts w:cs="Arial"/>
          <w:sz w:val="20"/>
          <w:szCs w:val="20"/>
        </w:rPr>
        <w:t xml:space="preserve"> 15,3 milijarde kuna za što je najzaslužniji skok depozita gospodarstva (+11,3%) zahvaljujući snažnoj akviziciji klijenata u lokalnoj upravi, malom i srednjem poduzetništvu te velikim kompanijama. Depoziti stanovništva porasli su 2,1%. </w:t>
      </w:r>
    </w:p>
    <w:p w:rsidR="00135074" w:rsidRDefault="00135074" w:rsidP="009C7E3F">
      <w:pPr>
        <w:rPr>
          <w:rFonts w:cs="Arial"/>
          <w:b/>
          <w:sz w:val="20"/>
          <w:szCs w:val="20"/>
        </w:rPr>
      </w:pPr>
    </w:p>
    <w:p w:rsidR="009C7E3F" w:rsidRPr="007957BB" w:rsidRDefault="009C7E3F" w:rsidP="009C7E3F">
      <w:pPr>
        <w:rPr>
          <w:rFonts w:cs="Arial"/>
          <w:sz w:val="20"/>
          <w:szCs w:val="20"/>
        </w:rPr>
      </w:pPr>
      <w:r w:rsidRPr="007957BB">
        <w:rPr>
          <w:rFonts w:cs="Arial"/>
          <w:sz w:val="20"/>
          <w:szCs w:val="20"/>
        </w:rPr>
        <w:t xml:space="preserve">Adekvatnost kapitala tijekom prvog polugodišta se smanjila s 15,9 na 15,2% uslijed rasta kredita i ostalih ulaganja zbog kojih je porasla rizicima ponderirana aktiva.  </w:t>
      </w:r>
    </w:p>
    <w:p w:rsidR="007957BB" w:rsidRDefault="007957BB" w:rsidP="009C7E3F">
      <w:pPr>
        <w:rPr>
          <w:rFonts w:cs="Arial"/>
          <w:i/>
          <w:sz w:val="20"/>
          <w:szCs w:val="20"/>
        </w:rPr>
      </w:pPr>
    </w:p>
    <w:p w:rsidR="009C7E3F" w:rsidRPr="00301559" w:rsidRDefault="009C7E3F" w:rsidP="009C7E3F">
      <w:pPr>
        <w:rPr>
          <w:rFonts w:cs="Arial"/>
          <w:b/>
          <w:i/>
          <w:sz w:val="20"/>
          <w:szCs w:val="20"/>
        </w:rPr>
      </w:pPr>
      <w:r w:rsidRPr="00301559">
        <w:rPr>
          <w:rFonts w:cs="Arial"/>
          <w:b/>
          <w:i/>
          <w:sz w:val="20"/>
          <w:szCs w:val="20"/>
        </w:rPr>
        <w:t>Teško je izdvojiti najvažnije u kontinuiranom poboljšavanju pokazatelja poslovanja HPB-a. Ipak, između najviše neto dobiti od 91,3 milijuna kuna, godišnjeg rasta operativne dobiti od 14,5% na 192,8 milijuna</w:t>
      </w:r>
      <w:r w:rsidR="003540BE">
        <w:rPr>
          <w:rFonts w:cs="Arial"/>
          <w:b/>
          <w:i/>
          <w:sz w:val="20"/>
          <w:szCs w:val="20"/>
        </w:rPr>
        <w:t xml:space="preserve"> kuna i </w:t>
      </w:r>
      <w:r w:rsidRPr="00301559">
        <w:rPr>
          <w:rFonts w:cs="Arial"/>
          <w:b/>
          <w:i/>
          <w:sz w:val="20"/>
          <w:szCs w:val="20"/>
        </w:rPr>
        <w:t xml:space="preserve">snažnog rasta tržišnih udjela na padajućem bankarskom tržištu najviše nas veseli 17.600 novih tekućih računa i više od 800 novih računa pravnih osoba. </w:t>
      </w:r>
    </w:p>
    <w:p w:rsidR="009C7E3F" w:rsidRPr="00467E13" w:rsidRDefault="009C7E3F" w:rsidP="009C7E3F">
      <w:pPr>
        <w:rPr>
          <w:rFonts w:cs="Arial"/>
          <w:sz w:val="20"/>
          <w:szCs w:val="20"/>
        </w:rPr>
      </w:pPr>
      <w:r w:rsidRPr="00301559">
        <w:rPr>
          <w:rFonts w:cs="Arial"/>
          <w:b/>
          <w:i/>
          <w:sz w:val="20"/>
          <w:szCs w:val="20"/>
        </w:rPr>
        <w:t>Stalni rad na kvaliteti usluge, aktivan pristup klijentu</w:t>
      </w:r>
      <w:r w:rsidR="001A7AA6">
        <w:rPr>
          <w:rFonts w:cs="Arial"/>
          <w:b/>
          <w:i/>
          <w:sz w:val="20"/>
          <w:szCs w:val="20"/>
        </w:rPr>
        <w:t xml:space="preserve"> i</w:t>
      </w:r>
      <w:r w:rsidRPr="00301559">
        <w:rPr>
          <w:rFonts w:cs="Arial"/>
          <w:b/>
          <w:i/>
          <w:sz w:val="20"/>
          <w:szCs w:val="20"/>
        </w:rPr>
        <w:t xml:space="preserve"> brižno upravljanje rizicima uz simpatije javnosti za najveću banku u hrvatskom vlasništvu doveli su do ovih rezultata, </w:t>
      </w:r>
      <w:r w:rsidR="003540BE" w:rsidRPr="00467E13">
        <w:rPr>
          <w:rFonts w:cs="Arial"/>
          <w:sz w:val="20"/>
          <w:szCs w:val="20"/>
        </w:rPr>
        <w:t xml:space="preserve">komentira </w:t>
      </w:r>
      <w:r w:rsidRPr="00467E13">
        <w:rPr>
          <w:rFonts w:cs="Arial"/>
          <w:sz w:val="20"/>
          <w:szCs w:val="20"/>
        </w:rPr>
        <w:t xml:space="preserve"> </w:t>
      </w:r>
      <w:r w:rsidR="00A94BF7" w:rsidRPr="00467E13">
        <w:rPr>
          <w:rFonts w:cs="Arial"/>
          <w:sz w:val="20"/>
          <w:szCs w:val="20"/>
        </w:rPr>
        <w:t xml:space="preserve">polugodišnje poslovanje </w:t>
      </w:r>
      <w:r w:rsidRPr="00467E13">
        <w:rPr>
          <w:rFonts w:cs="Arial"/>
          <w:sz w:val="20"/>
          <w:szCs w:val="20"/>
        </w:rPr>
        <w:t xml:space="preserve">predsjednik Uprave </w:t>
      </w:r>
      <w:r w:rsidR="007957BB" w:rsidRPr="00467E13">
        <w:rPr>
          <w:rFonts w:cs="Arial"/>
          <w:sz w:val="20"/>
          <w:szCs w:val="20"/>
        </w:rPr>
        <w:t xml:space="preserve">HPB-a </w:t>
      </w:r>
      <w:r w:rsidRPr="00467E13">
        <w:rPr>
          <w:rFonts w:cs="Arial"/>
          <w:sz w:val="20"/>
          <w:szCs w:val="20"/>
        </w:rPr>
        <w:t xml:space="preserve">Tomislav Vuić.  </w:t>
      </w:r>
    </w:p>
    <w:p w:rsidR="00D927B0" w:rsidRDefault="00D927B0" w:rsidP="00C52A6C">
      <w:pPr>
        <w:spacing w:after="200" w:line="276" w:lineRule="auto"/>
        <w:jc w:val="left"/>
        <w:rPr>
          <w:b/>
          <w:sz w:val="18"/>
          <w:szCs w:val="18"/>
        </w:rPr>
      </w:pPr>
    </w:p>
    <w:p w:rsidR="006C3213" w:rsidRDefault="007A6729" w:rsidP="006C3213">
      <w:pPr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RAST HPB-a NA PADAJUĆEM TRŽIŠTU: </w:t>
      </w:r>
      <w:r w:rsidR="00537615">
        <w:rPr>
          <w:rFonts w:cs="Arial"/>
          <w:b/>
          <w:sz w:val="20"/>
          <w:szCs w:val="20"/>
        </w:rPr>
        <w:t>BANKARSKI SEKTOR</w:t>
      </w:r>
      <w:r w:rsidR="006C3213">
        <w:rPr>
          <w:rFonts w:cs="Arial"/>
          <w:b/>
          <w:sz w:val="20"/>
          <w:szCs w:val="20"/>
        </w:rPr>
        <w:t xml:space="preserve"> I HPB U PRVA 4 MJESECA 2016.</w:t>
      </w:r>
    </w:p>
    <w:p w:rsidR="00537615" w:rsidRDefault="00537615" w:rsidP="006C3213">
      <w:pPr>
        <w:jc w:val="left"/>
        <w:rPr>
          <w:rFonts w:cs="Arial"/>
          <w:b/>
          <w:sz w:val="20"/>
          <w:szCs w:val="20"/>
        </w:rPr>
      </w:pPr>
    </w:p>
    <w:p w:rsidR="006C3213" w:rsidRPr="007957BB" w:rsidRDefault="006C3213" w:rsidP="006C3213">
      <w:pPr>
        <w:jc w:val="left"/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>Kretanje imovine kreditnih institucija i HPB</w:t>
      </w:r>
      <w:r>
        <w:rPr>
          <w:rFonts w:cs="Arial"/>
          <w:b/>
          <w:sz w:val="20"/>
          <w:szCs w:val="20"/>
        </w:rPr>
        <w:t>-a</w:t>
      </w:r>
      <w:bookmarkStart w:id="0" w:name="_GoBack"/>
      <w:bookmarkEnd w:id="0"/>
      <w:r w:rsidRPr="007957BB">
        <w:rPr>
          <w:rFonts w:cs="Arial"/>
          <w:b/>
          <w:sz w:val="20"/>
          <w:szCs w:val="20"/>
        </w:rPr>
        <w:t>*</w:t>
      </w:r>
    </w:p>
    <w:p w:rsidR="006C3213" w:rsidRDefault="006C3213" w:rsidP="00537615">
      <w:pPr>
        <w:rPr>
          <w:rFonts w:cs="Arial"/>
          <w:sz w:val="20"/>
          <w:szCs w:val="20"/>
        </w:rPr>
      </w:pPr>
      <w:r w:rsidRPr="007A5E63">
        <w:rPr>
          <w:noProof/>
          <w:lang w:eastAsia="hr-HR"/>
        </w:rPr>
        <w:drawing>
          <wp:inline distT="0" distB="0" distL="0" distR="0">
            <wp:extent cx="4486939" cy="269853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03" cy="270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6C3213" w:rsidRPr="007957BB" w:rsidRDefault="006C3213" w:rsidP="006C3213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Rast kredita HPB-a na padajućem tržištu* </w:t>
      </w:r>
    </w:p>
    <w:p w:rsidR="006C3213" w:rsidRPr="00537615" w:rsidRDefault="006C3213" w:rsidP="00537615">
      <w:pPr>
        <w:rPr>
          <w:rFonts w:cs="Arial"/>
          <w:sz w:val="20"/>
          <w:szCs w:val="20"/>
        </w:rPr>
      </w:pPr>
      <w:r w:rsidRPr="007A5E63">
        <w:rPr>
          <w:noProof/>
          <w:lang w:eastAsia="hr-HR"/>
        </w:rPr>
        <w:drawing>
          <wp:inline distT="0" distB="0" distL="0" distR="0">
            <wp:extent cx="4316818" cy="2586004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66" cy="25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537615" w:rsidRDefault="00537615" w:rsidP="006C3213">
      <w:pPr>
        <w:rPr>
          <w:rFonts w:cs="Arial"/>
          <w:b/>
          <w:sz w:val="20"/>
          <w:szCs w:val="20"/>
        </w:rPr>
      </w:pPr>
    </w:p>
    <w:p w:rsidR="006C3213" w:rsidRPr="007957BB" w:rsidRDefault="006C3213" w:rsidP="006C3213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>Snažan rast stambenih kredita</w:t>
      </w:r>
      <w:r>
        <w:rPr>
          <w:rFonts w:cs="Arial"/>
          <w:b/>
          <w:sz w:val="20"/>
          <w:szCs w:val="20"/>
        </w:rPr>
        <w:t xml:space="preserve"> HPB-a</w:t>
      </w:r>
      <w:r w:rsidRPr="007957BB">
        <w:rPr>
          <w:rFonts w:cs="Arial"/>
          <w:b/>
          <w:sz w:val="20"/>
          <w:szCs w:val="20"/>
        </w:rPr>
        <w:t>*</w:t>
      </w:r>
    </w:p>
    <w:p w:rsidR="006C3213" w:rsidRPr="007957BB" w:rsidRDefault="006C3213" w:rsidP="006C3213">
      <w:pPr>
        <w:rPr>
          <w:rFonts w:cs="Arial"/>
          <w:sz w:val="20"/>
          <w:szCs w:val="20"/>
        </w:rPr>
      </w:pPr>
      <w:r w:rsidRPr="007A5E63">
        <w:rPr>
          <w:noProof/>
          <w:lang w:eastAsia="hr-HR"/>
        </w:rPr>
        <w:drawing>
          <wp:inline distT="0" distB="0" distL="0" distR="0">
            <wp:extent cx="4316730" cy="2585951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69" cy="259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13" w:rsidRDefault="006C3213" w:rsidP="00C52A6C">
      <w:pPr>
        <w:spacing w:after="200" w:line="276" w:lineRule="auto"/>
        <w:jc w:val="left"/>
        <w:rPr>
          <w:b/>
          <w:sz w:val="18"/>
          <w:szCs w:val="18"/>
        </w:rPr>
      </w:pPr>
    </w:p>
    <w:p w:rsidR="006C3213" w:rsidRPr="007957BB" w:rsidRDefault="006C3213" w:rsidP="006C3213">
      <w:pPr>
        <w:rPr>
          <w:rFonts w:cs="Arial"/>
          <w:b/>
          <w:sz w:val="20"/>
          <w:szCs w:val="20"/>
        </w:rPr>
      </w:pPr>
      <w:r w:rsidRPr="007957BB">
        <w:rPr>
          <w:rFonts w:cs="Arial"/>
          <w:b/>
          <w:sz w:val="20"/>
          <w:szCs w:val="20"/>
        </w:rPr>
        <w:t xml:space="preserve">Rast depozita HPB-a na padajućem tržištu* </w:t>
      </w:r>
    </w:p>
    <w:p w:rsidR="006C3213" w:rsidRPr="007957BB" w:rsidRDefault="006C3213" w:rsidP="006C3213">
      <w:pPr>
        <w:rPr>
          <w:rFonts w:cs="Arial"/>
          <w:sz w:val="20"/>
          <w:szCs w:val="20"/>
        </w:rPr>
      </w:pPr>
      <w:r w:rsidRPr="007A5E63">
        <w:rPr>
          <w:noProof/>
          <w:lang w:eastAsia="hr-HR"/>
        </w:rPr>
        <w:drawing>
          <wp:inline distT="0" distB="0" distL="0" distR="0">
            <wp:extent cx="4338083" cy="259874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89" cy="26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13" w:rsidRPr="004248ED" w:rsidRDefault="006C3213" w:rsidP="004248ED">
      <w:pPr>
        <w:rPr>
          <w:rFonts w:cs="Arial"/>
          <w:sz w:val="20"/>
          <w:szCs w:val="20"/>
        </w:rPr>
      </w:pPr>
      <w:r w:rsidRPr="007957BB">
        <w:rPr>
          <w:rFonts w:cs="Arial"/>
          <w:sz w:val="20"/>
          <w:szCs w:val="20"/>
        </w:rPr>
        <w:t xml:space="preserve">*izvor za sektor: </w:t>
      </w:r>
      <w:hyperlink r:id="rId14" w:history="1">
        <w:r w:rsidRPr="007957BB">
          <w:rPr>
            <w:rStyle w:val="Hiperveza"/>
            <w:rFonts w:cs="Arial"/>
            <w:sz w:val="20"/>
            <w:szCs w:val="20"/>
          </w:rPr>
          <w:t>www.hnb.hr</w:t>
        </w:r>
      </w:hyperlink>
      <w:r w:rsidRPr="007957BB">
        <w:rPr>
          <w:rFonts w:cs="Arial"/>
          <w:sz w:val="20"/>
          <w:szCs w:val="20"/>
        </w:rPr>
        <w:t xml:space="preserve"> (agregirani mjesečni izvještaji kreditnih institucija, 30.4.2016.)</w:t>
      </w:r>
    </w:p>
    <w:sectPr w:rsidR="006C3213" w:rsidRPr="004248ED" w:rsidSect="00A90C4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97" w:right="1134" w:bottom="1701" w:left="1644" w:header="192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CB" w:rsidRDefault="00BD46CB" w:rsidP="00A137F0">
      <w:pPr>
        <w:spacing w:line="240" w:lineRule="auto"/>
      </w:pPr>
      <w:r>
        <w:separator/>
      </w:r>
    </w:p>
  </w:endnote>
  <w:endnote w:type="continuationSeparator" w:id="0">
    <w:p w:rsidR="00BD46CB" w:rsidRDefault="00BD46CB" w:rsidP="00A1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95" w:rsidRPr="0047114B" w:rsidRDefault="00B65195" w:rsidP="00A90C47">
    <w:pPr>
      <w:pStyle w:val="Podnoje"/>
      <w:pBdr>
        <w:top w:val="single" w:sz="18" w:space="1" w:color="FF0000"/>
      </w:pBdr>
      <w:spacing w:line="336" w:lineRule="auto"/>
      <w:jc w:val="right"/>
      <w:rPr>
        <w:sz w:val="15"/>
        <w:szCs w:val="15"/>
      </w:rPr>
    </w:pPr>
    <w:r>
      <w:rPr>
        <w:sz w:val="15"/>
        <w:szCs w:val="15"/>
      </w:rPr>
      <w:t xml:space="preserve">stranica </w:t>
    </w:r>
    <w:r w:rsidR="00653EEE"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 </w:instrText>
    </w:r>
    <w:r w:rsidR="00653EEE">
      <w:rPr>
        <w:sz w:val="15"/>
        <w:szCs w:val="15"/>
      </w:rPr>
      <w:fldChar w:fldCharType="separate"/>
    </w:r>
    <w:r w:rsidR="004248ED">
      <w:rPr>
        <w:noProof/>
        <w:sz w:val="15"/>
        <w:szCs w:val="15"/>
      </w:rPr>
      <w:t>4</w:t>
    </w:r>
    <w:r w:rsidR="00653EEE">
      <w:rPr>
        <w:sz w:val="15"/>
        <w:szCs w:val="15"/>
      </w:rPr>
      <w:fldChar w:fldCharType="end"/>
    </w:r>
    <w:r>
      <w:rPr>
        <w:sz w:val="15"/>
        <w:szCs w:val="15"/>
      </w:rPr>
      <w:t xml:space="preserve"> od </w:t>
    </w:r>
    <w:r w:rsidR="00653EEE"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 </w:instrText>
    </w:r>
    <w:r w:rsidR="00653EEE">
      <w:rPr>
        <w:sz w:val="15"/>
        <w:szCs w:val="15"/>
      </w:rPr>
      <w:fldChar w:fldCharType="separate"/>
    </w:r>
    <w:r w:rsidR="004248ED">
      <w:rPr>
        <w:noProof/>
        <w:sz w:val="15"/>
        <w:szCs w:val="15"/>
      </w:rPr>
      <w:t>4</w:t>
    </w:r>
    <w:r w:rsidR="00653EEE">
      <w:rPr>
        <w:sz w:val="15"/>
        <w:szCs w:val="1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95" w:rsidRPr="00B65195" w:rsidRDefault="00B65195" w:rsidP="001D5874">
    <w:pPr>
      <w:pStyle w:val="Podnoje"/>
      <w:pBdr>
        <w:top w:val="single" w:sz="18" w:space="1" w:color="FF0000"/>
      </w:pBdr>
      <w:contextualSpacing/>
      <w:rPr>
        <w:rFonts w:cs="Arial"/>
        <w:spacing w:val="2"/>
        <w:kern w:val="15"/>
        <w:sz w:val="15"/>
        <w:szCs w:val="15"/>
      </w:rPr>
    </w:pPr>
    <w:r w:rsidRPr="00BF096F">
      <w:rPr>
        <w:spacing w:val="2"/>
        <w:kern w:val="15"/>
        <w:sz w:val="15"/>
        <w:szCs w:val="15"/>
      </w:rPr>
      <w:t xml:space="preserve">Hrvatska poštanska banka, dioničko društvo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proofErr w:type="spellStart"/>
    <w:r w:rsidRPr="00BF096F">
      <w:rPr>
        <w:rFonts w:cs="Arial"/>
        <w:spacing w:val="2"/>
        <w:kern w:val="15"/>
        <w:sz w:val="15"/>
        <w:szCs w:val="15"/>
      </w:rPr>
      <w:t>Jurišićeva</w:t>
    </w:r>
    <w:proofErr w:type="spellEnd"/>
    <w:r w:rsidRPr="00BF096F">
      <w:rPr>
        <w:rFonts w:cs="Arial"/>
        <w:spacing w:val="2"/>
        <w:kern w:val="15"/>
        <w:sz w:val="15"/>
        <w:szCs w:val="15"/>
      </w:rPr>
      <w:t xml:space="preserve"> 4, 10000 Zagreb, Hrvatska</w:t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="00A73747">
      <w:rPr>
        <w:rFonts w:cs="Arial"/>
        <w:spacing w:val="2"/>
        <w:kern w:val="15"/>
        <w:sz w:val="15"/>
        <w:szCs w:val="15"/>
      </w:rPr>
      <w:t xml:space="preserve">tel.: </w:t>
    </w:r>
    <w:r w:rsidR="002A0710">
      <w:rPr>
        <w:rFonts w:cs="Arial"/>
        <w:spacing w:val="2"/>
        <w:kern w:val="15"/>
        <w:sz w:val="15"/>
        <w:szCs w:val="15"/>
      </w:rPr>
      <w:t>072</w:t>
    </w:r>
    <w:r w:rsidRPr="00BF096F">
      <w:rPr>
        <w:rFonts w:cs="Arial"/>
        <w:spacing w:val="2"/>
        <w:kern w:val="15"/>
        <w:sz w:val="15"/>
        <w:szCs w:val="15"/>
      </w:rPr>
      <w:t xml:space="preserve"> 472 472</w:t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rFonts w:cs="Arial"/>
        <w:spacing w:val="2"/>
        <w:kern w:val="15"/>
        <w:sz w:val="15"/>
        <w:szCs w:val="15"/>
      </w:rPr>
      <w:t xml:space="preserve">hpb@hpb.hr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rFonts w:cs="Arial"/>
        <w:spacing w:val="2"/>
        <w:kern w:val="15"/>
        <w:sz w:val="15"/>
        <w:szCs w:val="15"/>
      </w:rPr>
      <w:t xml:space="preserve">www.hpb.hr </w:t>
    </w:r>
    <w:r w:rsidRPr="00BF096F">
      <w:rPr>
        <w:spacing w:val="2"/>
        <w:kern w:val="15"/>
        <w:sz w:val="15"/>
        <w:szCs w:val="15"/>
      </w:rPr>
      <w:t>Uprava Banke:</w:t>
    </w:r>
    <w:r w:rsidR="002A0710">
      <w:rPr>
        <w:spacing w:val="2"/>
        <w:kern w:val="15"/>
        <w:sz w:val="15"/>
        <w:szCs w:val="15"/>
      </w:rPr>
      <w:t xml:space="preserve"> Tomislav Vuić</w:t>
    </w:r>
    <w:r>
      <w:rPr>
        <w:spacing w:val="2"/>
        <w:kern w:val="15"/>
        <w:sz w:val="15"/>
        <w:szCs w:val="15"/>
      </w:rPr>
      <w:t xml:space="preserve">, predsjednik </w:t>
    </w:r>
    <w:r w:rsidR="000043EB">
      <w:rPr>
        <w:spacing w:val="2"/>
        <w:kern w:val="15"/>
        <w:sz w:val="15"/>
        <w:szCs w:val="15"/>
      </w:rPr>
      <w:sym w:font="Symbol" w:char="F0D7"/>
    </w:r>
    <w:r w:rsidR="000043EB">
      <w:rPr>
        <w:spacing w:val="2"/>
        <w:kern w:val="15"/>
        <w:sz w:val="15"/>
        <w:szCs w:val="15"/>
      </w:rPr>
      <w:t xml:space="preserve"> Mladen Mrvelj, član </w:t>
    </w:r>
    <w:r w:rsidR="000043EB">
      <w:rPr>
        <w:spacing w:val="2"/>
        <w:kern w:val="15"/>
        <w:sz w:val="15"/>
        <w:szCs w:val="15"/>
      </w:rPr>
      <w:sym w:font="Symbol" w:char="F0D7"/>
    </w:r>
    <w:r w:rsidR="000043EB">
      <w:rPr>
        <w:spacing w:val="2"/>
        <w:kern w:val="15"/>
        <w:sz w:val="15"/>
        <w:szCs w:val="15"/>
      </w:rPr>
      <w:t xml:space="preserve"> Domagoj Karadjole, član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rFonts w:cs="Arial"/>
        <w:spacing w:val="2"/>
        <w:kern w:val="15"/>
        <w:sz w:val="15"/>
        <w:szCs w:val="15"/>
      </w:rPr>
      <w:t>predsjednik Na</w:t>
    </w:r>
    <w:r w:rsidRPr="00BF096F">
      <w:rPr>
        <w:spacing w:val="2"/>
        <w:kern w:val="15"/>
        <w:sz w:val="15"/>
        <w:szCs w:val="15"/>
      </w:rPr>
      <w:t>dzornog</w:t>
    </w:r>
    <w:r w:rsidR="009679A3">
      <w:rPr>
        <w:spacing w:val="2"/>
        <w:kern w:val="15"/>
        <w:sz w:val="15"/>
        <w:szCs w:val="15"/>
      </w:rPr>
      <w:t xml:space="preserve"> odbora: </w:t>
    </w:r>
    <w:r w:rsidRPr="00BF096F">
      <w:rPr>
        <w:spacing w:val="2"/>
        <w:kern w:val="15"/>
        <w:sz w:val="15"/>
        <w:szCs w:val="15"/>
      </w:rPr>
      <w:t>D</w:t>
    </w:r>
    <w:r w:rsidR="001F1D87">
      <w:rPr>
        <w:spacing w:val="2"/>
        <w:kern w:val="15"/>
        <w:sz w:val="15"/>
        <w:szCs w:val="15"/>
      </w:rPr>
      <w:t xml:space="preserve">ražen </w:t>
    </w:r>
    <w:proofErr w:type="spellStart"/>
    <w:r w:rsidR="001F1D87">
      <w:rPr>
        <w:spacing w:val="2"/>
        <w:kern w:val="15"/>
        <w:sz w:val="15"/>
        <w:szCs w:val="15"/>
      </w:rPr>
      <w:t>Kobas</w:t>
    </w:r>
    <w:proofErr w:type="spellEnd"/>
    <w:r>
      <w:rPr>
        <w:spacing w:val="2"/>
        <w:kern w:val="15"/>
        <w:sz w:val="15"/>
        <w:szCs w:val="15"/>
      </w:rPr>
      <w:t xml:space="preserve"> </w:t>
    </w:r>
    <w:r w:rsidRPr="00BF096F">
      <w:rPr>
        <w:spacing w:val="2"/>
        <w:kern w:val="15"/>
        <w:sz w:val="15"/>
        <w:szCs w:val="15"/>
      </w:rPr>
      <w:sym w:font="Symbol" w:char="F0D7"/>
    </w:r>
    <w:r w:rsidR="009679A3">
      <w:rPr>
        <w:spacing w:val="2"/>
        <w:kern w:val="15"/>
        <w:sz w:val="15"/>
        <w:szCs w:val="15"/>
      </w:rPr>
      <w:t xml:space="preserve"> </w:t>
    </w:r>
    <w:r w:rsidR="00602D63">
      <w:rPr>
        <w:rFonts w:cs="Arial"/>
        <w:spacing w:val="2"/>
        <w:kern w:val="15"/>
        <w:sz w:val="15"/>
        <w:szCs w:val="15"/>
      </w:rPr>
      <w:t xml:space="preserve">IBAN: HR46 2390 0011 0700 0002 9 </w:t>
    </w:r>
    <w:r w:rsidRPr="00BF096F">
      <w:rPr>
        <w:spacing w:val="2"/>
        <w:kern w:val="15"/>
        <w:sz w:val="15"/>
        <w:szCs w:val="15"/>
      </w:rPr>
      <w:sym w:font="Symbol" w:char="F0D7"/>
    </w:r>
    <w:r>
      <w:rPr>
        <w:spacing w:val="2"/>
        <w:kern w:val="15"/>
        <w:sz w:val="15"/>
        <w:szCs w:val="15"/>
      </w:rPr>
      <w:t xml:space="preserve"> </w:t>
    </w:r>
    <w:r w:rsidRPr="00BF096F">
      <w:rPr>
        <w:rFonts w:cs="Arial"/>
        <w:spacing w:val="2"/>
        <w:kern w:val="15"/>
        <w:sz w:val="15"/>
        <w:szCs w:val="15"/>
      </w:rPr>
      <w:t>SWIFT: HPBZHR2X</w:t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rFonts w:cs="Arial"/>
        <w:spacing w:val="2"/>
        <w:kern w:val="15"/>
        <w:sz w:val="15"/>
        <w:szCs w:val="15"/>
      </w:rPr>
      <w:t>OIB: 87939104217</w:t>
    </w:r>
    <w:r w:rsidRPr="00BF096F">
      <w:rPr>
        <w:spacing w:val="2"/>
        <w:kern w:val="15"/>
        <w:sz w:val="15"/>
        <w:szCs w:val="15"/>
      </w:rPr>
      <w:t xml:space="preserve">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>
      <w:rPr>
        <w:rFonts w:cs="Arial"/>
        <w:spacing w:val="2"/>
        <w:kern w:val="15"/>
        <w:sz w:val="15"/>
        <w:szCs w:val="15"/>
      </w:rPr>
      <w:t xml:space="preserve">Upis kod </w:t>
    </w:r>
    <w:r w:rsidRPr="00BF096F">
      <w:rPr>
        <w:rFonts w:cs="Arial"/>
        <w:spacing w:val="2"/>
        <w:kern w:val="15"/>
        <w:sz w:val="15"/>
        <w:szCs w:val="15"/>
      </w:rPr>
      <w:t>Trgovačkog suda u</w:t>
    </w:r>
    <w:r>
      <w:rPr>
        <w:rFonts w:cs="Arial"/>
        <w:spacing w:val="2"/>
        <w:kern w:val="15"/>
        <w:sz w:val="15"/>
        <w:szCs w:val="15"/>
      </w:rPr>
      <w:t xml:space="preserve"> Zagrebu pod br. MBS: 080010698 </w:t>
    </w:r>
    <w:r w:rsidRPr="00BF096F">
      <w:rPr>
        <w:spacing w:val="2"/>
        <w:kern w:val="15"/>
        <w:sz w:val="15"/>
        <w:szCs w:val="15"/>
      </w:rPr>
      <w:sym w:font="Symbol" w:char="F0D7"/>
    </w:r>
    <w:r w:rsidRPr="00BF096F">
      <w:rPr>
        <w:spacing w:val="2"/>
        <w:kern w:val="15"/>
        <w:sz w:val="15"/>
        <w:szCs w:val="15"/>
      </w:rPr>
      <w:t xml:space="preserve"> </w:t>
    </w:r>
    <w:r w:rsidR="00AE36EE" w:rsidRPr="00AE36EE">
      <w:rPr>
        <w:rFonts w:cs="Arial"/>
        <w:spacing w:val="2"/>
        <w:kern w:val="15"/>
        <w:sz w:val="15"/>
        <w:szCs w:val="15"/>
      </w:rPr>
      <w:t>Temeljni kapital 1.214.775.000,00 kn, podijeljen na 2.024.625 redovnih dionica u nominalnom iznosu 600,00 kn (uplaćen u cijelosti)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CB" w:rsidRDefault="00BD46CB" w:rsidP="00A137F0">
      <w:pPr>
        <w:spacing w:line="240" w:lineRule="auto"/>
      </w:pPr>
      <w:r>
        <w:separator/>
      </w:r>
    </w:p>
  </w:footnote>
  <w:footnote w:type="continuationSeparator" w:id="0">
    <w:p w:rsidR="00BD46CB" w:rsidRDefault="00BD46CB" w:rsidP="00A137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95" w:rsidRDefault="00B65195" w:rsidP="00303295">
    <w:pPr>
      <w:pStyle w:val="Zaglavlje"/>
      <w:spacing w:line="336" w:lineRule="auto"/>
      <w:rPr>
        <w:b/>
        <w:color w:val="FF0000"/>
        <w:sz w:val="15"/>
        <w:szCs w:val="15"/>
      </w:rPr>
    </w:pPr>
    <w:r w:rsidRPr="00303295">
      <w:rPr>
        <w:b/>
        <w:color w:val="FF0000"/>
        <w:sz w:val="15"/>
        <w:szCs w:val="15"/>
      </w:rPr>
      <w:t>HRVATSKA POŠTANSKA BANKA, dioničko društvo</w:t>
    </w:r>
  </w:p>
  <w:p w:rsidR="007957BB" w:rsidRPr="00303295" w:rsidRDefault="007957BB" w:rsidP="00303295">
    <w:pPr>
      <w:pStyle w:val="Zaglavlje"/>
      <w:spacing w:line="336" w:lineRule="auto"/>
      <w:rPr>
        <w:b/>
        <w:color w:val="FF0000"/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95" w:rsidRPr="00DB5AC5" w:rsidRDefault="0049166F" w:rsidP="00DB5AC5">
    <w:pPr>
      <w:pStyle w:val="Zaglavlje"/>
      <w:spacing w:line="336" w:lineRule="auto"/>
      <w:rPr>
        <w:b/>
        <w:color w:val="FF0000"/>
        <w:sz w:val="15"/>
        <w:szCs w:val="15"/>
      </w:rPr>
    </w:pPr>
    <w:r>
      <w:rPr>
        <w:b/>
        <w:noProof/>
        <w:color w:val="FF0000"/>
        <w:sz w:val="15"/>
        <w:szCs w:val="15"/>
        <w:lang w:eastAsia="hr-H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349375" cy="446405"/>
          <wp:effectExtent l="0" t="0" r="3175" b="0"/>
          <wp:wrapNone/>
          <wp:docPr id="2" name="Picture 1" descr="hp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b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195" w:rsidRPr="00DB5AC5">
      <w:rPr>
        <w:b/>
        <w:noProof/>
        <w:color w:val="FF0000"/>
        <w:sz w:val="15"/>
        <w:szCs w:val="15"/>
        <w:lang w:eastAsia="hr-HR"/>
      </w:rPr>
      <w:t>HRVATSKA PO</w:t>
    </w:r>
    <w:r w:rsidR="00B65195">
      <w:rPr>
        <w:b/>
        <w:noProof/>
        <w:color w:val="FF0000"/>
        <w:sz w:val="15"/>
        <w:szCs w:val="15"/>
        <w:lang w:eastAsia="hr-HR"/>
      </w:rPr>
      <w:t>Š</w:t>
    </w:r>
    <w:r w:rsidR="00B65195" w:rsidRPr="00DB5AC5">
      <w:rPr>
        <w:b/>
        <w:noProof/>
        <w:color w:val="FF0000"/>
        <w:sz w:val="15"/>
        <w:szCs w:val="15"/>
        <w:lang w:eastAsia="hr-HR"/>
      </w:rPr>
      <w:t>TANSKA BANKA</w:t>
    </w:r>
    <w:r w:rsidR="00B65195">
      <w:rPr>
        <w:b/>
        <w:noProof/>
        <w:color w:val="FF0000"/>
        <w:sz w:val="15"/>
        <w:szCs w:val="15"/>
        <w:lang w:eastAsia="hr-HR"/>
      </w:rPr>
      <w:t>,</w:t>
    </w:r>
    <w:r w:rsidR="00B65195" w:rsidRPr="00DB5AC5">
      <w:rPr>
        <w:b/>
        <w:noProof/>
        <w:color w:val="FF0000"/>
        <w:sz w:val="15"/>
        <w:szCs w:val="15"/>
        <w:lang w:eastAsia="hr-HR"/>
      </w:rPr>
      <w:t xml:space="preserve"> dioničko društvo</w:t>
    </w:r>
  </w:p>
  <w:p w:rsidR="005E5DCE" w:rsidRDefault="005E5DCE" w:rsidP="005E5DCE">
    <w:pPr>
      <w:pStyle w:val="Zaglavlje"/>
      <w:spacing w:line="336" w:lineRule="auto"/>
      <w:rPr>
        <w:sz w:val="15"/>
        <w:szCs w:val="15"/>
      </w:rPr>
    </w:pPr>
    <w:r>
      <w:rPr>
        <w:sz w:val="15"/>
        <w:szCs w:val="15"/>
      </w:rPr>
      <w:t xml:space="preserve">Ured </w:t>
    </w:r>
    <w:r w:rsidR="00EC3E2F">
      <w:rPr>
        <w:sz w:val="15"/>
        <w:szCs w:val="15"/>
      </w:rPr>
      <w:t xml:space="preserve">za </w:t>
    </w:r>
    <w:proofErr w:type="spellStart"/>
    <w:r w:rsidR="00701624" w:rsidRPr="00701624">
      <w:rPr>
        <w:sz w:val="15"/>
        <w:szCs w:val="15"/>
      </w:rPr>
      <w:t>za</w:t>
    </w:r>
    <w:proofErr w:type="spellEnd"/>
    <w:r w:rsidR="00701624" w:rsidRPr="00701624">
      <w:rPr>
        <w:sz w:val="15"/>
        <w:szCs w:val="15"/>
      </w:rPr>
      <w:t xml:space="preserve"> korporativne komunikacije</w:t>
    </w:r>
  </w:p>
  <w:p w:rsidR="005E5DCE" w:rsidRDefault="005E5DCE" w:rsidP="005E5DCE">
    <w:pPr>
      <w:pStyle w:val="Zaglavlje"/>
      <w:spacing w:line="336" w:lineRule="auto"/>
      <w:rPr>
        <w:sz w:val="15"/>
        <w:szCs w:val="15"/>
      </w:rPr>
    </w:pPr>
    <w:proofErr w:type="spellStart"/>
    <w:r>
      <w:rPr>
        <w:sz w:val="15"/>
        <w:szCs w:val="15"/>
      </w:rPr>
      <w:t>Jurišićeva</w:t>
    </w:r>
    <w:proofErr w:type="spellEnd"/>
    <w:r>
      <w:rPr>
        <w:sz w:val="15"/>
        <w:szCs w:val="15"/>
      </w:rPr>
      <w:t xml:space="preserve"> 4, HR-10000 Zagreb</w:t>
    </w:r>
  </w:p>
  <w:p w:rsidR="005E5DCE" w:rsidRDefault="00EC3E2F" w:rsidP="005E5DCE">
    <w:pPr>
      <w:pStyle w:val="Zaglavlje"/>
      <w:spacing w:line="336" w:lineRule="auto"/>
      <w:rPr>
        <w:sz w:val="15"/>
        <w:szCs w:val="15"/>
      </w:rPr>
    </w:pPr>
    <w:r>
      <w:rPr>
        <w:sz w:val="15"/>
        <w:szCs w:val="15"/>
      </w:rPr>
      <w:t xml:space="preserve">Telefon: +385 1 4804 </w:t>
    </w:r>
    <w:r w:rsidR="004B13A2">
      <w:rPr>
        <w:sz w:val="15"/>
        <w:szCs w:val="15"/>
      </w:rPr>
      <w:t>473</w:t>
    </w:r>
  </w:p>
  <w:p w:rsidR="005E5DCE" w:rsidRDefault="00EC3E2F" w:rsidP="005E5DCE">
    <w:pPr>
      <w:pStyle w:val="Zaglavlje"/>
      <w:spacing w:line="336" w:lineRule="auto"/>
      <w:rPr>
        <w:sz w:val="15"/>
        <w:szCs w:val="15"/>
      </w:rPr>
    </w:pPr>
    <w:r>
      <w:rPr>
        <w:sz w:val="15"/>
        <w:szCs w:val="15"/>
      </w:rPr>
      <w:t>Telefaks: +385 1 4810 773</w:t>
    </w:r>
  </w:p>
  <w:p w:rsidR="00B65195" w:rsidRPr="00A137F0" w:rsidRDefault="00B65195" w:rsidP="00A137F0">
    <w:pPr>
      <w:pStyle w:val="Zaglavlje"/>
      <w:spacing w:line="336" w:lineRule="auto"/>
      <w:rPr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66F"/>
    <w:rsid w:val="00002CDF"/>
    <w:rsid w:val="00003EAF"/>
    <w:rsid w:val="000043EB"/>
    <w:rsid w:val="00005547"/>
    <w:rsid w:val="0001370F"/>
    <w:rsid w:val="00016500"/>
    <w:rsid w:val="000165E1"/>
    <w:rsid w:val="000223C3"/>
    <w:rsid w:val="00031479"/>
    <w:rsid w:val="00040CD1"/>
    <w:rsid w:val="00041937"/>
    <w:rsid w:val="000435D2"/>
    <w:rsid w:val="0005466D"/>
    <w:rsid w:val="00080888"/>
    <w:rsid w:val="00083CFC"/>
    <w:rsid w:val="00084C40"/>
    <w:rsid w:val="00084F14"/>
    <w:rsid w:val="00091A4B"/>
    <w:rsid w:val="00094D7B"/>
    <w:rsid w:val="000A13D6"/>
    <w:rsid w:val="000F13FD"/>
    <w:rsid w:val="00110F12"/>
    <w:rsid w:val="00112EC3"/>
    <w:rsid w:val="00112FCC"/>
    <w:rsid w:val="00135074"/>
    <w:rsid w:val="00156D5B"/>
    <w:rsid w:val="00164939"/>
    <w:rsid w:val="00165221"/>
    <w:rsid w:val="00173C75"/>
    <w:rsid w:val="00197A67"/>
    <w:rsid w:val="001A7AA6"/>
    <w:rsid w:val="001B1D15"/>
    <w:rsid w:val="001D0CBA"/>
    <w:rsid w:val="001D5874"/>
    <w:rsid w:val="001F1D87"/>
    <w:rsid w:val="00204E25"/>
    <w:rsid w:val="0021167F"/>
    <w:rsid w:val="00212D50"/>
    <w:rsid w:val="00223A60"/>
    <w:rsid w:val="00240D68"/>
    <w:rsid w:val="002454BD"/>
    <w:rsid w:val="00252576"/>
    <w:rsid w:val="00253C8D"/>
    <w:rsid w:val="00272AF0"/>
    <w:rsid w:val="00277357"/>
    <w:rsid w:val="00287CA7"/>
    <w:rsid w:val="00295564"/>
    <w:rsid w:val="002A0710"/>
    <w:rsid w:val="002A4810"/>
    <w:rsid w:val="002B097A"/>
    <w:rsid w:val="002D5CCF"/>
    <w:rsid w:val="00301559"/>
    <w:rsid w:val="00303295"/>
    <w:rsid w:val="0031116A"/>
    <w:rsid w:val="003146E9"/>
    <w:rsid w:val="003351D9"/>
    <w:rsid w:val="00340B58"/>
    <w:rsid w:val="003540BE"/>
    <w:rsid w:val="003639CE"/>
    <w:rsid w:val="00383505"/>
    <w:rsid w:val="00386507"/>
    <w:rsid w:val="00395789"/>
    <w:rsid w:val="003A25DF"/>
    <w:rsid w:val="003A7334"/>
    <w:rsid w:val="003B120C"/>
    <w:rsid w:val="003D326F"/>
    <w:rsid w:val="003D4C65"/>
    <w:rsid w:val="003D5969"/>
    <w:rsid w:val="003D650E"/>
    <w:rsid w:val="003E1D11"/>
    <w:rsid w:val="003E4A91"/>
    <w:rsid w:val="003F1F46"/>
    <w:rsid w:val="003F2988"/>
    <w:rsid w:val="003F4140"/>
    <w:rsid w:val="0040474B"/>
    <w:rsid w:val="00412451"/>
    <w:rsid w:val="004248ED"/>
    <w:rsid w:val="00426DB1"/>
    <w:rsid w:val="00443C1E"/>
    <w:rsid w:val="00444680"/>
    <w:rsid w:val="00467E13"/>
    <w:rsid w:val="0047114B"/>
    <w:rsid w:val="004847AE"/>
    <w:rsid w:val="004903D8"/>
    <w:rsid w:val="00491225"/>
    <w:rsid w:val="0049166F"/>
    <w:rsid w:val="0049301F"/>
    <w:rsid w:val="0049621E"/>
    <w:rsid w:val="004B13A2"/>
    <w:rsid w:val="004B15F3"/>
    <w:rsid w:val="004B7063"/>
    <w:rsid w:val="004D11FC"/>
    <w:rsid w:val="004D606A"/>
    <w:rsid w:val="004E2D67"/>
    <w:rsid w:val="004E46ED"/>
    <w:rsid w:val="004F0FC8"/>
    <w:rsid w:val="004F2319"/>
    <w:rsid w:val="004F2BA5"/>
    <w:rsid w:val="00505C9E"/>
    <w:rsid w:val="00537615"/>
    <w:rsid w:val="00547DB6"/>
    <w:rsid w:val="00570721"/>
    <w:rsid w:val="0057319C"/>
    <w:rsid w:val="00583A4C"/>
    <w:rsid w:val="005923B0"/>
    <w:rsid w:val="00593CFF"/>
    <w:rsid w:val="005B5AA1"/>
    <w:rsid w:val="005D0C46"/>
    <w:rsid w:val="005D1B65"/>
    <w:rsid w:val="005E05A6"/>
    <w:rsid w:val="005E5DCE"/>
    <w:rsid w:val="006012C7"/>
    <w:rsid w:val="00602D63"/>
    <w:rsid w:val="0061534B"/>
    <w:rsid w:val="0062786F"/>
    <w:rsid w:val="00633FBC"/>
    <w:rsid w:val="006423B4"/>
    <w:rsid w:val="0064605D"/>
    <w:rsid w:val="00647A20"/>
    <w:rsid w:val="0065006B"/>
    <w:rsid w:val="00653EEE"/>
    <w:rsid w:val="006541F5"/>
    <w:rsid w:val="00655F9A"/>
    <w:rsid w:val="00657851"/>
    <w:rsid w:val="00660B8F"/>
    <w:rsid w:val="006651A1"/>
    <w:rsid w:val="006724E3"/>
    <w:rsid w:val="0067491C"/>
    <w:rsid w:val="00676C38"/>
    <w:rsid w:val="00676CA1"/>
    <w:rsid w:val="00676DAD"/>
    <w:rsid w:val="00684D41"/>
    <w:rsid w:val="00687A9F"/>
    <w:rsid w:val="0069493B"/>
    <w:rsid w:val="006B6673"/>
    <w:rsid w:val="006B7973"/>
    <w:rsid w:val="006C3213"/>
    <w:rsid w:val="006C3DBC"/>
    <w:rsid w:val="006D01E7"/>
    <w:rsid w:val="006E0182"/>
    <w:rsid w:val="006E2154"/>
    <w:rsid w:val="006F6556"/>
    <w:rsid w:val="00701624"/>
    <w:rsid w:val="0072449B"/>
    <w:rsid w:val="00725A86"/>
    <w:rsid w:val="0073527E"/>
    <w:rsid w:val="00737BA0"/>
    <w:rsid w:val="007712ED"/>
    <w:rsid w:val="00771429"/>
    <w:rsid w:val="00782867"/>
    <w:rsid w:val="007957BB"/>
    <w:rsid w:val="00797AB8"/>
    <w:rsid w:val="007A5E63"/>
    <w:rsid w:val="007A6729"/>
    <w:rsid w:val="007B1512"/>
    <w:rsid w:val="007B47C8"/>
    <w:rsid w:val="007B5774"/>
    <w:rsid w:val="007B5EFE"/>
    <w:rsid w:val="007B7EF6"/>
    <w:rsid w:val="007C2387"/>
    <w:rsid w:val="007E6AC9"/>
    <w:rsid w:val="007F446D"/>
    <w:rsid w:val="00812CFD"/>
    <w:rsid w:val="00820D45"/>
    <w:rsid w:val="00837E7F"/>
    <w:rsid w:val="0084611C"/>
    <w:rsid w:val="00852590"/>
    <w:rsid w:val="008841A0"/>
    <w:rsid w:val="008A5A4C"/>
    <w:rsid w:val="008E3C4C"/>
    <w:rsid w:val="008E7516"/>
    <w:rsid w:val="008E7FFC"/>
    <w:rsid w:val="00900B6A"/>
    <w:rsid w:val="009138B8"/>
    <w:rsid w:val="009147CF"/>
    <w:rsid w:val="009262B7"/>
    <w:rsid w:val="0092674A"/>
    <w:rsid w:val="0094308A"/>
    <w:rsid w:val="00944904"/>
    <w:rsid w:val="0095711E"/>
    <w:rsid w:val="00960307"/>
    <w:rsid w:val="009679A3"/>
    <w:rsid w:val="00983670"/>
    <w:rsid w:val="00996C27"/>
    <w:rsid w:val="009A064C"/>
    <w:rsid w:val="009A2265"/>
    <w:rsid w:val="009A64B7"/>
    <w:rsid w:val="009B74E9"/>
    <w:rsid w:val="009C3EFD"/>
    <w:rsid w:val="009C62BE"/>
    <w:rsid w:val="009C7E3F"/>
    <w:rsid w:val="009D405B"/>
    <w:rsid w:val="009E3639"/>
    <w:rsid w:val="00A00CCE"/>
    <w:rsid w:val="00A02206"/>
    <w:rsid w:val="00A137F0"/>
    <w:rsid w:val="00A173AD"/>
    <w:rsid w:val="00A26BC1"/>
    <w:rsid w:val="00A30921"/>
    <w:rsid w:val="00A31465"/>
    <w:rsid w:val="00A36D41"/>
    <w:rsid w:val="00A56F09"/>
    <w:rsid w:val="00A5793F"/>
    <w:rsid w:val="00A71AB2"/>
    <w:rsid w:val="00A73747"/>
    <w:rsid w:val="00A81FAC"/>
    <w:rsid w:val="00A8364F"/>
    <w:rsid w:val="00A85498"/>
    <w:rsid w:val="00A90C47"/>
    <w:rsid w:val="00A94BF7"/>
    <w:rsid w:val="00A96250"/>
    <w:rsid w:val="00AA2444"/>
    <w:rsid w:val="00AA7044"/>
    <w:rsid w:val="00AB1CDD"/>
    <w:rsid w:val="00AD3103"/>
    <w:rsid w:val="00AE36EE"/>
    <w:rsid w:val="00AE4991"/>
    <w:rsid w:val="00AF3E3F"/>
    <w:rsid w:val="00B04B6D"/>
    <w:rsid w:val="00B15AF6"/>
    <w:rsid w:val="00B23F8F"/>
    <w:rsid w:val="00B41E41"/>
    <w:rsid w:val="00B42D3F"/>
    <w:rsid w:val="00B44699"/>
    <w:rsid w:val="00B47105"/>
    <w:rsid w:val="00B52E1D"/>
    <w:rsid w:val="00B53B52"/>
    <w:rsid w:val="00B56A8F"/>
    <w:rsid w:val="00B65195"/>
    <w:rsid w:val="00B67747"/>
    <w:rsid w:val="00B71455"/>
    <w:rsid w:val="00B77A9E"/>
    <w:rsid w:val="00B83BED"/>
    <w:rsid w:val="00BB254D"/>
    <w:rsid w:val="00BB690D"/>
    <w:rsid w:val="00BC1061"/>
    <w:rsid w:val="00BD46CB"/>
    <w:rsid w:val="00BE22F3"/>
    <w:rsid w:val="00BE36BA"/>
    <w:rsid w:val="00BE3C0A"/>
    <w:rsid w:val="00BF096F"/>
    <w:rsid w:val="00BF3C05"/>
    <w:rsid w:val="00C06E1B"/>
    <w:rsid w:val="00C23CC2"/>
    <w:rsid w:val="00C362EA"/>
    <w:rsid w:val="00C41017"/>
    <w:rsid w:val="00C52A6C"/>
    <w:rsid w:val="00C74F37"/>
    <w:rsid w:val="00C8303A"/>
    <w:rsid w:val="00C93313"/>
    <w:rsid w:val="00C96169"/>
    <w:rsid w:val="00CB1C2D"/>
    <w:rsid w:val="00CC2689"/>
    <w:rsid w:val="00CD466C"/>
    <w:rsid w:val="00CF73CB"/>
    <w:rsid w:val="00D00665"/>
    <w:rsid w:val="00D01F6A"/>
    <w:rsid w:val="00D45432"/>
    <w:rsid w:val="00D5150B"/>
    <w:rsid w:val="00D51C62"/>
    <w:rsid w:val="00D53271"/>
    <w:rsid w:val="00D53E98"/>
    <w:rsid w:val="00D6723F"/>
    <w:rsid w:val="00D72813"/>
    <w:rsid w:val="00D75432"/>
    <w:rsid w:val="00D77185"/>
    <w:rsid w:val="00D85BAB"/>
    <w:rsid w:val="00D927B0"/>
    <w:rsid w:val="00D95915"/>
    <w:rsid w:val="00D963EE"/>
    <w:rsid w:val="00D96579"/>
    <w:rsid w:val="00D96979"/>
    <w:rsid w:val="00DA488F"/>
    <w:rsid w:val="00DB5AC5"/>
    <w:rsid w:val="00DE5576"/>
    <w:rsid w:val="00DE743A"/>
    <w:rsid w:val="00E17032"/>
    <w:rsid w:val="00E1747B"/>
    <w:rsid w:val="00E24678"/>
    <w:rsid w:val="00E31DF2"/>
    <w:rsid w:val="00E366A9"/>
    <w:rsid w:val="00E5299A"/>
    <w:rsid w:val="00E53941"/>
    <w:rsid w:val="00E55176"/>
    <w:rsid w:val="00E57FDF"/>
    <w:rsid w:val="00E978A3"/>
    <w:rsid w:val="00EA4D70"/>
    <w:rsid w:val="00EA6A1C"/>
    <w:rsid w:val="00EC3E2F"/>
    <w:rsid w:val="00EE54AF"/>
    <w:rsid w:val="00F255DF"/>
    <w:rsid w:val="00F26171"/>
    <w:rsid w:val="00F312B6"/>
    <w:rsid w:val="00F509F4"/>
    <w:rsid w:val="00F5678C"/>
    <w:rsid w:val="00F74F4D"/>
    <w:rsid w:val="00F87351"/>
    <w:rsid w:val="00F96817"/>
    <w:rsid w:val="00FA3036"/>
    <w:rsid w:val="00FE5D27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PB_Memo"/>
    <w:qFormat/>
    <w:rsid w:val="00A137F0"/>
    <w:pPr>
      <w:spacing w:line="360" w:lineRule="auto"/>
      <w:jc w:val="both"/>
    </w:pPr>
    <w:rPr>
      <w:rFonts w:ascii="Arial" w:hAnsi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37F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rsid w:val="00A137F0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A137F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rsid w:val="00A137F0"/>
    <w:rPr>
      <w:rFonts w:ascii="Arial" w:hAnsi="Arial"/>
    </w:rPr>
  </w:style>
  <w:style w:type="character" w:styleId="Hiperveza">
    <w:name w:val="Hyperlink"/>
    <w:basedOn w:val="Zadanifontodlomka"/>
    <w:uiPriority w:val="99"/>
    <w:semiHidden/>
    <w:unhideWhenUsed/>
    <w:rsid w:val="00D51C6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7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hnb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ldin\Desktop\Eksterni%20memo_Ured%20za%20korporativne%20komunikacije_%20HP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C5DB9D318740AF77A4C9051D1CCB" ma:contentTypeVersion="0" ma:contentTypeDescription="Create a new document." ma:contentTypeScope="" ma:versionID="287cc57ef4596dbc9a825f4bf2000b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292-D448-4898-946E-7C0E361FE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2F1C2-F7E0-4445-ABCD-72077A559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BCCD7-2EC6-4389-A072-22BF57D94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C65AF-CC26-47B7-97AB-5CB01AB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memo_Ured za korporativne komunikacije_ HPB</Template>
  <TotalTime>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HPB d.d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Lacković Renata</dc:creator>
  <cp:keywords/>
  <cp:lastModifiedBy>Racunalo</cp:lastModifiedBy>
  <cp:revision>6</cp:revision>
  <cp:lastPrinted>2016-07-21T07:25:00Z</cp:lastPrinted>
  <dcterms:created xsi:type="dcterms:W3CDTF">2016-07-21T12:11:00Z</dcterms:created>
  <dcterms:modified xsi:type="dcterms:W3CDTF">2016-07-22T07:34:00Z</dcterms:modified>
</cp:coreProperties>
</file>